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BF0" w:rsidRPr="00D00019" w:rsidRDefault="00B667F3" w:rsidP="00513BF0">
      <w:pPr>
        <w:jc w:val="both"/>
        <w:rPr>
          <w:rFonts w:ascii="Arial" w:hAnsi="Arial" w:cs="Arial"/>
          <w:sz w:val="20"/>
          <w:szCs w:val="20"/>
          <w:u w:val="single"/>
        </w:rPr>
      </w:pPr>
      <w:r>
        <w:rPr>
          <w:rFonts w:ascii="Arial" w:hAnsi="Arial" w:cs="Arial"/>
          <w:sz w:val="20"/>
          <w:szCs w:val="20"/>
          <w:u w:val="single"/>
        </w:rPr>
        <w:t>AAEF. REUNION COMISIÓ</w:t>
      </w:r>
      <w:r w:rsidR="00513BF0" w:rsidRPr="00D00019">
        <w:rPr>
          <w:rFonts w:ascii="Arial" w:hAnsi="Arial" w:cs="Arial"/>
          <w:sz w:val="20"/>
          <w:szCs w:val="20"/>
          <w:u w:val="single"/>
        </w:rPr>
        <w:t xml:space="preserve">N PENAL TRIBUTARIO </w:t>
      </w:r>
      <w:r w:rsidR="00872289">
        <w:rPr>
          <w:rFonts w:ascii="Arial" w:hAnsi="Arial" w:cs="Arial"/>
          <w:sz w:val="20"/>
          <w:szCs w:val="20"/>
          <w:u w:val="single"/>
        </w:rPr>
        <w:t>JUNIO</w:t>
      </w:r>
      <w:r w:rsidR="00513BF0" w:rsidRPr="00D00019">
        <w:rPr>
          <w:rFonts w:ascii="Arial" w:hAnsi="Arial" w:cs="Arial"/>
          <w:sz w:val="20"/>
          <w:szCs w:val="20"/>
          <w:u w:val="single"/>
        </w:rPr>
        <w:t xml:space="preserve"> 2023</w:t>
      </w:r>
    </w:p>
    <w:p w:rsidR="00513BF0" w:rsidRPr="00D00019" w:rsidRDefault="00513BF0" w:rsidP="00513BF0">
      <w:pPr>
        <w:pStyle w:val="Prrafodelista"/>
        <w:ind w:left="780"/>
        <w:jc w:val="both"/>
        <w:rPr>
          <w:rFonts w:ascii="Arial" w:hAnsi="Arial" w:cs="Arial"/>
          <w:sz w:val="20"/>
          <w:szCs w:val="20"/>
          <w:u w:val="single"/>
        </w:rPr>
      </w:pPr>
    </w:p>
    <w:p w:rsidR="008048CB" w:rsidRPr="00D00019" w:rsidRDefault="00872289" w:rsidP="00513BF0">
      <w:pPr>
        <w:pStyle w:val="Prrafodelista"/>
        <w:numPr>
          <w:ilvl w:val="0"/>
          <w:numId w:val="2"/>
        </w:numPr>
        <w:jc w:val="both"/>
        <w:rPr>
          <w:rFonts w:ascii="Arial" w:hAnsi="Arial" w:cs="Arial"/>
          <w:sz w:val="20"/>
          <w:szCs w:val="20"/>
          <w:u w:val="single"/>
        </w:rPr>
      </w:pPr>
      <w:r w:rsidRPr="00872289">
        <w:rPr>
          <w:rFonts w:ascii="Arial" w:hAnsi="Arial" w:cs="Arial"/>
          <w:sz w:val="20"/>
          <w:szCs w:val="20"/>
          <w:u w:val="single"/>
        </w:rPr>
        <w:t>LEGAJO DE APELACIÓN DE G. A., M. S. EN CAUSA CPE 783/2022 “GIMENEZ A., M. S. S/ INFRACCIÓN LEY 24.769”. J.N.P.E. N° 5, SEC. N° 10. CAUSA N° CPE 783/2022/1/CA1. ORDEN N° 31.132. SALA “B”.</w:t>
      </w:r>
    </w:p>
    <w:p w:rsidR="004326FB" w:rsidRDefault="00513BF0" w:rsidP="000A2F85">
      <w:pPr>
        <w:pStyle w:val="Default"/>
        <w:jc w:val="both"/>
        <w:rPr>
          <w:rFonts w:ascii="Arial" w:hAnsi="Arial" w:cs="Arial"/>
          <w:sz w:val="20"/>
          <w:szCs w:val="20"/>
        </w:rPr>
      </w:pPr>
      <w:r w:rsidRPr="00D00019">
        <w:rPr>
          <w:rFonts w:ascii="Arial" w:hAnsi="Arial" w:cs="Arial"/>
          <w:sz w:val="20"/>
          <w:szCs w:val="20"/>
          <w:u w:val="single"/>
        </w:rPr>
        <w:t>Tema</w:t>
      </w:r>
      <w:r w:rsidRPr="00D00019">
        <w:rPr>
          <w:rFonts w:ascii="Arial" w:hAnsi="Arial" w:cs="Arial"/>
          <w:sz w:val="20"/>
          <w:szCs w:val="20"/>
        </w:rPr>
        <w:t xml:space="preserve">: </w:t>
      </w:r>
      <w:r w:rsidR="00E7631C">
        <w:rPr>
          <w:rFonts w:ascii="Arial" w:hAnsi="Arial" w:cs="Arial"/>
          <w:sz w:val="20"/>
          <w:szCs w:val="20"/>
        </w:rPr>
        <w:t>Rechazo de requerimiento fiscal de instrucción</w:t>
      </w:r>
      <w:r w:rsidR="00C96B1F" w:rsidRPr="00D00019">
        <w:rPr>
          <w:rFonts w:ascii="Arial" w:hAnsi="Arial" w:cs="Arial"/>
          <w:sz w:val="20"/>
          <w:szCs w:val="20"/>
        </w:rPr>
        <w:t>.</w:t>
      </w:r>
      <w:r w:rsidR="00E7631C">
        <w:rPr>
          <w:rFonts w:ascii="Arial" w:hAnsi="Arial" w:cs="Arial"/>
          <w:sz w:val="20"/>
          <w:szCs w:val="20"/>
        </w:rPr>
        <w:t xml:space="preserve"> Falta de presentación de </w:t>
      </w:r>
      <w:proofErr w:type="spellStart"/>
      <w:r w:rsidR="00E7631C">
        <w:rPr>
          <w:rFonts w:ascii="Arial" w:hAnsi="Arial" w:cs="Arial"/>
          <w:sz w:val="20"/>
          <w:szCs w:val="20"/>
        </w:rPr>
        <w:t>ddjj</w:t>
      </w:r>
      <w:proofErr w:type="spellEnd"/>
      <w:r w:rsidR="00E7631C">
        <w:rPr>
          <w:rFonts w:ascii="Arial" w:hAnsi="Arial" w:cs="Arial"/>
          <w:sz w:val="20"/>
          <w:szCs w:val="20"/>
        </w:rPr>
        <w:t xml:space="preserve"> de bienes personales al controvertirse en sede judicial la alícuota del impuesto. Imposibilidad de consignar alícuota diferente a la que ofrece el sistema. Inexistencia de ardid. Apelación de la querella.</w:t>
      </w:r>
      <w:r w:rsidR="003717BB">
        <w:rPr>
          <w:rFonts w:ascii="Arial" w:hAnsi="Arial" w:cs="Arial"/>
          <w:sz w:val="20"/>
          <w:szCs w:val="20"/>
        </w:rPr>
        <w:t xml:space="preserve"> La interposición de una acción declarativa de inconstitucionalidad no obsta el inicio de una investigación penal (voto del Dr. Hornos en minoría). </w:t>
      </w:r>
    </w:p>
    <w:p w:rsidR="003717BB" w:rsidRPr="00D00019" w:rsidRDefault="003717BB" w:rsidP="000A2F85">
      <w:pPr>
        <w:pStyle w:val="Default"/>
        <w:jc w:val="both"/>
        <w:rPr>
          <w:rFonts w:ascii="Arial" w:hAnsi="Arial" w:cs="Arial"/>
          <w:sz w:val="20"/>
          <w:szCs w:val="20"/>
        </w:rPr>
      </w:pPr>
      <w:r>
        <w:rPr>
          <w:rFonts w:ascii="Arial" w:hAnsi="Arial" w:cs="Arial"/>
          <w:sz w:val="20"/>
          <w:szCs w:val="20"/>
        </w:rPr>
        <w:t xml:space="preserve">Colaboración con la fiscalización no realizando ocultación alguna y señalando el planteo judicial de inconstitucionalidad. De los elementos aportados por la querella no surge que la omisión de presentación de la </w:t>
      </w:r>
      <w:proofErr w:type="spellStart"/>
      <w:r>
        <w:rPr>
          <w:rFonts w:ascii="Arial" w:hAnsi="Arial" w:cs="Arial"/>
          <w:sz w:val="20"/>
          <w:szCs w:val="20"/>
        </w:rPr>
        <w:t>ddjj</w:t>
      </w:r>
      <w:proofErr w:type="spellEnd"/>
      <w:r>
        <w:rPr>
          <w:rFonts w:ascii="Arial" w:hAnsi="Arial" w:cs="Arial"/>
          <w:sz w:val="20"/>
          <w:szCs w:val="20"/>
        </w:rPr>
        <w:t xml:space="preserve"> haya tenido carácter malicioso</w:t>
      </w:r>
      <w:r w:rsidR="001E54DF">
        <w:rPr>
          <w:rFonts w:ascii="Arial" w:hAnsi="Arial" w:cs="Arial"/>
          <w:sz w:val="20"/>
          <w:szCs w:val="20"/>
        </w:rPr>
        <w:t xml:space="preserve">. (voto de Dres. </w:t>
      </w:r>
      <w:proofErr w:type="spellStart"/>
      <w:r w:rsidR="001E54DF">
        <w:rPr>
          <w:rFonts w:ascii="Arial" w:hAnsi="Arial" w:cs="Arial"/>
          <w:sz w:val="20"/>
          <w:szCs w:val="20"/>
        </w:rPr>
        <w:t>Robiglio</w:t>
      </w:r>
      <w:proofErr w:type="spellEnd"/>
      <w:r w:rsidR="001E54DF">
        <w:rPr>
          <w:rFonts w:ascii="Arial" w:hAnsi="Arial" w:cs="Arial"/>
          <w:sz w:val="20"/>
          <w:szCs w:val="20"/>
        </w:rPr>
        <w:t xml:space="preserve"> y </w:t>
      </w:r>
      <w:proofErr w:type="spellStart"/>
      <w:r w:rsidR="001E54DF">
        <w:rPr>
          <w:rFonts w:ascii="Arial" w:hAnsi="Arial" w:cs="Arial"/>
          <w:sz w:val="20"/>
          <w:szCs w:val="20"/>
        </w:rPr>
        <w:t>Bonzón</w:t>
      </w:r>
      <w:proofErr w:type="spellEnd"/>
      <w:r w:rsidR="001E54DF">
        <w:rPr>
          <w:rFonts w:ascii="Arial" w:hAnsi="Arial" w:cs="Arial"/>
          <w:sz w:val="20"/>
          <w:szCs w:val="20"/>
        </w:rPr>
        <w:t>). Se confirma el rechazo de la instrucción.</w:t>
      </w:r>
    </w:p>
    <w:p w:rsidR="008C2FA5" w:rsidRPr="00D00019" w:rsidRDefault="008C2FA5" w:rsidP="000A2F85">
      <w:pPr>
        <w:pStyle w:val="Default"/>
        <w:jc w:val="both"/>
        <w:rPr>
          <w:rFonts w:ascii="Arial" w:hAnsi="Arial" w:cs="Arial"/>
          <w:sz w:val="20"/>
          <w:szCs w:val="20"/>
        </w:rPr>
      </w:pPr>
    </w:p>
    <w:p w:rsidR="008C2FA5" w:rsidRPr="008C2FA5" w:rsidRDefault="008C2FA5" w:rsidP="000A2F85">
      <w:pPr>
        <w:autoSpaceDE w:val="0"/>
        <w:autoSpaceDN w:val="0"/>
        <w:adjustRightInd w:val="0"/>
        <w:spacing w:after="0" w:line="240" w:lineRule="auto"/>
        <w:jc w:val="both"/>
        <w:rPr>
          <w:rFonts w:ascii="Arial" w:hAnsi="Arial" w:cs="Arial"/>
          <w:color w:val="000000"/>
          <w:sz w:val="20"/>
          <w:szCs w:val="20"/>
        </w:rPr>
      </w:pPr>
    </w:p>
    <w:p w:rsidR="008C2FA5" w:rsidRPr="00D00019" w:rsidRDefault="00C111DC" w:rsidP="00513BF0">
      <w:pPr>
        <w:pStyle w:val="Default"/>
        <w:numPr>
          <w:ilvl w:val="0"/>
          <w:numId w:val="2"/>
        </w:numPr>
        <w:jc w:val="both"/>
        <w:rPr>
          <w:rFonts w:ascii="Arial" w:hAnsi="Arial" w:cs="Arial"/>
          <w:sz w:val="20"/>
          <w:szCs w:val="20"/>
          <w:u w:val="single"/>
        </w:rPr>
      </w:pPr>
      <w:r w:rsidRPr="00D00019">
        <w:rPr>
          <w:rFonts w:ascii="Arial" w:hAnsi="Arial" w:cs="Arial"/>
          <w:sz w:val="20"/>
          <w:szCs w:val="20"/>
          <w:u w:val="single"/>
        </w:rPr>
        <w:t xml:space="preserve">INCIDENTE DE </w:t>
      </w:r>
      <w:r w:rsidR="00872289">
        <w:rPr>
          <w:rFonts w:ascii="Arial" w:hAnsi="Arial" w:cs="Arial"/>
          <w:sz w:val="20"/>
          <w:szCs w:val="20"/>
          <w:u w:val="single"/>
        </w:rPr>
        <w:t>EXTINCION DE LA ACCIÓN PENAL DE GERMAN ALBERTO FERRANDO EN AUTOS:</w:t>
      </w:r>
      <w:r w:rsidRPr="00D00019">
        <w:rPr>
          <w:rFonts w:ascii="Arial" w:hAnsi="Arial" w:cs="Arial"/>
          <w:sz w:val="20"/>
          <w:szCs w:val="20"/>
          <w:u w:val="single"/>
        </w:rPr>
        <w:t xml:space="preserve"> “</w:t>
      </w:r>
      <w:r w:rsidR="00872289">
        <w:rPr>
          <w:rFonts w:ascii="Arial" w:hAnsi="Arial" w:cs="Arial"/>
          <w:sz w:val="20"/>
          <w:szCs w:val="20"/>
          <w:u w:val="single"/>
        </w:rPr>
        <w:t xml:space="preserve">DOMANICO DIEGO ARNALDO Y OTROS SOBRE INFRACCIÓN LEY </w:t>
      </w:r>
      <w:r w:rsidRPr="00D00019">
        <w:rPr>
          <w:rFonts w:ascii="Arial" w:hAnsi="Arial" w:cs="Arial"/>
          <w:sz w:val="20"/>
          <w:szCs w:val="20"/>
          <w:u w:val="single"/>
        </w:rPr>
        <w:t xml:space="preserve">24.769” </w:t>
      </w:r>
      <w:r w:rsidR="00872289">
        <w:rPr>
          <w:rFonts w:ascii="Arial" w:hAnsi="Arial" w:cs="Arial"/>
          <w:sz w:val="20"/>
          <w:szCs w:val="20"/>
          <w:u w:val="single"/>
        </w:rPr>
        <w:t>CPE 32/2017/23. Orden N° 34.037 JNPE N°9. Sec. 17. Sala “A”</w:t>
      </w:r>
    </w:p>
    <w:p w:rsidR="008C2FA5" w:rsidRPr="00D00019" w:rsidRDefault="00513BF0" w:rsidP="000A2F85">
      <w:pPr>
        <w:pStyle w:val="Default"/>
        <w:jc w:val="both"/>
        <w:rPr>
          <w:rFonts w:ascii="Arial" w:hAnsi="Arial" w:cs="Arial"/>
          <w:sz w:val="20"/>
          <w:szCs w:val="20"/>
        </w:rPr>
      </w:pPr>
      <w:r w:rsidRPr="00D00019">
        <w:rPr>
          <w:rFonts w:ascii="Arial" w:hAnsi="Arial" w:cs="Arial"/>
          <w:sz w:val="20"/>
          <w:szCs w:val="20"/>
          <w:u w:val="single"/>
        </w:rPr>
        <w:t>Tema</w:t>
      </w:r>
      <w:r w:rsidR="00334F59">
        <w:rPr>
          <w:rFonts w:ascii="Arial" w:hAnsi="Arial" w:cs="Arial"/>
          <w:sz w:val="20"/>
          <w:szCs w:val="20"/>
        </w:rPr>
        <w:t>Extinción de la acción penal por prescripción. Sustitución de identidad en cuenta de ML. Evasiones que no alcanzan el umbral de punibilidad. Calificación remanente de alteración dolosa de registros y estafa.</w:t>
      </w:r>
      <w:r w:rsidR="008021F6">
        <w:rPr>
          <w:rFonts w:ascii="Arial" w:hAnsi="Arial" w:cs="Arial"/>
          <w:sz w:val="20"/>
          <w:szCs w:val="20"/>
        </w:rPr>
        <w:t xml:space="preserve">El MPF cuestiona los presupuestos de los que partió el peritaje contable. </w:t>
      </w:r>
      <w:r w:rsidR="00251069">
        <w:rPr>
          <w:rFonts w:ascii="Arial" w:hAnsi="Arial" w:cs="Arial"/>
          <w:sz w:val="20"/>
          <w:szCs w:val="20"/>
        </w:rPr>
        <w:t xml:space="preserve">Existen circunstancias </w:t>
      </w:r>
      <w:r w:rsidR="004A5856">
        <w:rPr>
          <w:rFonts w:ascii="Arial" w:hAnsi="Arial" w:cs="Arial"/>
          <w:sz w:val="20"/>
          <w:szCs w:val="20"/>
        </w:rPr>
        <w:t xml:space="preserve">de hecho y prueba que no pueden considerarse </w:t>
      </w:r>
      <w:proofErr w:type="spellStart"/>
      <w:r w:rsidR="004A5856">
        <w:rPr>
          <w:rFonts w:ascii="Arial" w:hAnsi="Arial" w:cs="Arial"/>
          <w:sz w:val="20"/>
          <w:szCs w:val="20"/>
        </w:rPr>
        <w:t>insusceptibles</w:t>
      </w:r>
      <w:proofErr w:type="spellEnd"/>
      <w:r w:rsidR="004A5856">
        <w:rPr>
          <w:rFonts w:ascii="Arial" w:hAnsi="Arial" w:cs="Arial"/>
          <w:sz w:val="20"/>
          <w:szCs w:val="20"/>
        </w:rPr>
        <w:t xml:space="preserve"> de modificación, pudiendo modificarse la cuantía real de las evasiones. </w:t>
      </w:r>
      <w:r w:rsidR="00A4499F">
        <w:rPr>
          <w:rFonts w:ascii="Arial" w:hAnsi="Arial" w:cs="Arial"/>
          <w:sz w:val="20"/>
          <w:szCs w:val="20"/>
        </w:rPr>
        <w:t>Para resolver el incidente de prescripción debe estarse al delito de mayor gravedad.</w:t>
      </w:r>
      <w:r w:rsidR="00F26C40">
        <w:rPr>
          <w:rFonts w:ascii="Arial" w:hAnsi="Arial" w:cs="Arial"/>
          <w:sz w:val="20"/>
          <w:szCs w:val="20"/>
        </w:rPr>
        <w:t xml:space="preserve"> Se revoca la resolución.</w:t>
      </w:r>
    </w:p>
    <w:p w:rsidR="008C2FA5" w:rsidRPr="00D00019" w:rsidRDefault="008C2FA5" w:rsidP="000A2F85">
      <w:pPr>
        <w:pStyle w:val="Default"/>
        <w:jc w:val="both"/>
        <w:rPr>
          <w:rFonts w:ascii="Arial" w:hAnsi="Arial" w:cs="Arial"/>
          <w:sz w:val="20"/>
          <w:szCs w:val="20"/>
        </w:rPr>
      </w:pPr>
    </w:p>
    <w:p w:rsidR="008C2FA5" w:rsidRPr="00F35081" w:rsidRDefault="00284E80" w:rsidP="000A2F85">
      <w:pPr>
        <w:pStyle w:val="Prrafodelista"/>
        <w:numPr>
          <w:ilvl w:val="0"/>
          <w:numId w:val="2"/>
        </w:numPr>
        <w:autoSpaceDE w:val="0"/>
        <w:autoSpaceDN w:val="0"/>
        <w:adjustRightInd w:val="0"/>
        <w:spacing w:after="0" w:line="240" w:lineRule="auto"/>
        <w:jc w:val="both"/>
        <w:rPr>
          <w:rFonts w:ascii="Arial" w:hAnsi="Arial" w:cs="Arial"/>
          <w:sz w:val="20"/>
          <w:szCs w:val="20"/>
          <w:u w:val="single"/>
        </w:rPr>
      </w:pPr>
      <w:r w:rsidRPr="00284E80">
        <w:rPr>
          <w:rFonts w:ascii="Arial" w:hAnsi="Arial" w:cs="Arial"/>
          <w:bCs/>
          <w:sz w:val="20"/>
          <w:szCs w:val="20"/>
          <w:u w:val="single"/>
        </w:rPr>
        <w:t>“GALLEA, Juan José s/recurso de casación” CAMARA FEDERAL DE CASACION PENAL - SALA 4 CPE 163/2022/4/CFC1</w:t>
      </w:r>
      <w:r>
        <w:rPr>
          <w:rFonts w:ascii="Arial" w:hAnsi="Arial" w:cs="Arial"/>
          <w:bCs/>
          <w:sz w:val="20"/>
          <w:szCs w:val="20"/>
          <w:u w:val="single"/>
        </w:rPr>
        <w:t>.</w:t>
      </w:r>
    </w:p>
    <w:p w:rsidR="00F35081" w:rsidRPr="00F35081" w:rsidRDefault="00F35081" w:rsidP="00F35081">
      <w:pPr>
        <w:autoSpaceDE w:val="0"/>
        <w:autoSpaceDN w:val="0"/>
        <w:adjustRightInd w:val="0"/>
        <w:spacing w:after="0" w:line="240" w:lineRule="auto"/>
        <w:jc w:val="both"/>
        <w:rPr>
          <w:rFonts w:ascii="Arial" w:hAnsi="Arial" w:cs="Arial"/>
          <w:sz w:val="20"/>
          <w:szCs w:val="20"/>
          <w:u w:val="single"/>
        </w:rPr>
      </w:pPr>
      <w:r w:rsidRPr="00F35081">
        <w:rPr>
          <w:rFonts w:ascii="Arial" w:hAnsi="Arial" w:cs="Arial"/>
          <w:sz w:val="20"/>
          <w:szCs w:val="20"/>
          <w:u w:val="single"/>
        </w:rPr>
        <w:t>Tema</w:t>
      </w:r>
      <w:r>
        <w:rPr>
          <w:rFonts w:ascii="Arial" w:hAnsi="Arial" w:cs="Arial"/>
          <w:sz w:val="20"/>
          <w:szCs w:val="20"/>
          <w:u w:val="single"/>
        </w:rPr>
        <w:t>:</w:t>
      </w:r>
      <w:r w:rsidRPr="00F35081">
        <w:rPr>
          <w:rFonts w:ascii="Arial" w:hAnsi="Arial" w:cs="Arial"/>
          <w:sz w:val="20"/>
          <w:szCs w:val="20"/>
        </w:rPr>
        <w:t xml:space="preserve"> Planteo de nulidad prueba obtenida con posibilidad de violación al secreto fiscal.</w:t>
      </w:r>
    </w:p>
    <w:p w:rsidR="00513BF0" w:rsidRPr="00D00019" w:rsidRDefault="00513BF0" w:rsidP="00513BF0">
      <w:pPr>
        <w:autoSpaceDE w:val="0"/>
        <w:autoSpaceDN w:val="0"/>
        <w:adjustRightInd w:val="0"/>
        <w:spacing w:after="0" w:line="240" w:lineRule="auto"/>
        <w:jc w:val="both"/>
        <w:rPr>
          <w:rFonts w:ascii="Arial" w:hAnsi="Arial" w:cs="Arial"/>
          <w:sz w:val="20"/>
          <w:szCs w:val="20"/>
        </w:rPr>
      </w:pPr>
    </w:p>
    <w:p w:rsidR="00513BF0" w:rsidRPr="00D00019" w:rsidRDefault="00513BF0" w:rsidP="00513BF0">
      <w:pPr>
        <w:autoSpaceDE w:val="0"/>
        <w:autoSpaceDN w:val="0"/>
        <w:adjustRightInd w:val="0"/>
        <w:spacing w:after="0" w:line="240" w:lineRule="auto"/>
        <w:jc w:val="both"/>
        <w:rPr>
          <w:rFonts w:ascii="Arial" w:hAnsi="Arial" w:cs="Arial"/>
          <w:sz w:val="20"/>
          <w:szCs w:val="20"/>
        </w:rPr>
      </w:pPr>
    </w:p>
    <w:p w:rsidR="00DC2EF0" w:rsidRDefault="00547913" w:rsidP="00513BF0">
      <w:pPr>
        <w:pStyle w:val="Prrafodelista"/>
        <w:numPr>
          <w:ilvl w:val="0"/>
          <w:numId w:val="2"/>
        </w:numPr>
        <w:autoSpaceDE w:val="0"/>
        <w:autoSpaceDN w:val="0"/>
        <w:adjustRightInd w:val="0"/>
        <w:spacing w:after="0" w:line="240" w:lineRule="auto"/>
        <w:jc w:val="both"/>
        <w:rPr>
          <w:rFonts w:ascii="Arial" w:hAnsi="Arial" w:cs="Arial"/>
          <w:sz w:val="20"/>
          <w:szCs w:val="20"/>
          <w:u w:val="single"/>
        </w:rPr>
      </w:pPr>
      <w:r w:rsidRPr="00547913">
        <w:rPr>
          <w:rFonts w:ascii="Arial" w:hAnsi="Arial" w:cs="Arial"/>
          <w:sz w:val="20"/>
          <w:szCs w:val="20"/>
          <w:u w:val="single"/>
        </w:rPr>
        <w:t xml:space="preserve">“VERÓN, Gabina Sofía y </w:t>
      </w:r>
      <w:proofErr w:type="spellStart"/>
      <w:r w:rsidRPr="00547913">
        <w:rPr>
          <w:rFonts w:ascii="Arial" w:hAnsi="Arial" w:cs="Arial"/>
          <w:sz w:val="20"/>
          <w:szCs w:val="20"/>
          <w:u w:val="single"/>
        </w:rPr>
        <w:t>otro s</w:t>
      </w:r>
      <w:proofErr w:type="spellEnd"/>
      <w:r w:rsidRPr="00547913">
        <w:rPr>
          <w:rFonts w:ascii="Arial" w:hAnsi="Arial" w:cs="Arial"/>
          <w:sz w:val="20"/>
          <w:szCs w:val="20"/>
          <w:u w:val="single"/>
        </w:rPr>
        <w:t>/ recurso de casación” Sala III Causa CPE 1058/2015/TO1/CFC6</w:t>
      </w:r>
    </w:p>
    <w:p w:rsidR="00F35081" w:rsidRPr="00F35081" w:rsidRDefault="00F35081" w:rsidP="00F35081">
      <w:pPr>
        <w:autoSpaceDE w:val="0"/>
        <w:autoSpaceDN w:val="0"/>
        <w:adjustRightInd w:val="0"/>
        <w:spacing w:after="0" w:line="240" w:lineRule="auto"/>
        <w:jc w:val="both"/>
        <w:rPr>
          <w:rFonts w:ascii="Arial" w:hAnsi="Arial" w:cs="Arial"/>
          <w:sz w:val="20"/>
          <w:szCs w:val="20"/>
        </w:rPr>
      </w:pPr>
      <w:r w:rsidRPr="00F35081">
        <w:rPr>
          <w:rFonts w:ascii="Arial" w:hAnsi="Arial" w:cs="Arial"/>
          <w:color w:val="000000"/>
          <w:sz w:val="20"/>
          <w:szCs w:val="20"/>
          <w:u w:val="single"/>
        </w:rPr>
        <w:t>Tema</w:t>
      </w:r>
      <w:r w:rsidRPr="00F35081">
        <w:rPr>
          <w:rFonts w:ascii="Arial" w:hAnsi="Arial" w:cs="Arial"/>
          <w:color w:val="000000"/>
          <w:sz w:val="20"/>
          <w:szCs w:val="20"/>
        </w:rPr>
        <w:t>: Resolución del TOF 2 que aparta a la querella antes de resolver el fondo de la cuestión (declaración de extinción de la acción)</w:t>
      </w:r>
      <w:r w:rsidRPr="00F35081">
        <w:rPr>
          <w:rFonts w:ascii="Arial" w:hAnsi="Arial" w:cs="Arial"/>
          <w:sz w:val="20"/>
          <w:szCs w:val="20"/>
        </w:rPr>
        <w:t>. Elevación a juicio por apropiación indebida. Exclusión de quebrados (y de los deudores solidarios) de la moratoria ley 27.653. Pago total. El TOF aparta a la querella al considerar saldada la deuda.</w:t>
      </w:r>
    </w:p>
    <w:p w:rsidR="00F35081" w:rsidRPr="00F35081" w:rsidRDefault="00F35081" w:rsidP="00F35081">
      <w:pPr>
        <w:autoSpaceDE w:val="0"/>
        <w:autoSpaceDN w:val="0"/>
        <w:adjustRightInd w:val="0"/>
        <w:spacing w:after="0" w:line="240" w:lineRule="auto"/>
        <w:jc w:val="both"/>
        <w:rPr>
          <w:rFonts w:ascii="Arial" w:hAnsi="Arial" w:cs="Arial"/>
          <w:sz w:val="20"/>
          <w:szCs w:val="20"/>
        </w:rPr>
      </w:pPr>
      <w:r w:rsidRPr="00F35081">
        <w:rPr>
          <w:rFonts w:ascii="Arial" w:hAnsi="Arial" w:cs="Arial"/>
          <w:sz w:val="20"/>
          <w:szCs w:val="20"/>
        </w:rPr>
        <w:t>Solo corresponde apartar a la querella a través de una excepción de falta de acción. El interés de la querella no se agota con el pago. El pago de la deuda no implica el cese de “toda ofensa” hacia el querellante. Se revoca la resolución.</w:t>
      </w:r>
    </w:p>
    <w:p w:rsidR="00F35081" w:rsidRPr="00D00019" w:rsidRDefault="00F35081" w:rsidP="00F35081">
      <w:pPr>
        <w:pStyle w:val="Prrafodelista"/>
        <w:autoSpaceDE w:val="0"/>
        <w:autoSpaceDN w:val="0"/>
        <w:adjustRightInd w:val="0"/>
        <w:spacing w:after="0" w:line="240" w:lineRule="auto"/>
        <w:ind w:left="780"/>
        <w:jc w:val="both"/>
        <w:rPr>
          <w:rFonts w:ascii="Arial" w:hAnsi="Arial" w:cs="Arial"/>
          <w:sz w:val="20"/>
          <w:szCs w:val="20"/>
          <w:u w:val="single"/>
        </w:rPr>
      </w:pPr>
    </w:p>
    <w:p w:rsidR="00A73B50" w:rsidRPr="00D00019" w:rsidRDefault="00A73B50" w:rsidP="000A2F85">
      <w:pPr>
        <w:pStyle w:val="Default"/>
        <w:jc w:val="both"/>
        <w:rPr>
          <w:rFonts w:ascii="Arial" w:hAnsi="Arial" w:cs="Arial"/>
          <w:sz w:val="20"/>
          <w:szCs w:val="20"/>
        </w:rPr>
      </w:pPr>
    </w:p>
    <w:p w:rsidR="00A73B50" w:rsidRDefault="007569AC" w:rsidP="00513BF0">
      <w:pPr>
        <w:pStyle w:val="Prrafodelista"/>
        <w:numPr>
          <w:ilvl w:val="0"/>
          <w:numId w:val="2"/>
        </w:numPr>
        <w:autoSpaceDE w:val="0"/>
        <w:autoSpaceDN w:val="0"/>
        <w:adjustRightInd w:val="0"/>
        <w:spacing w:after="0" w:line="240" w:lineRule="auto"/>
        <w:jc w:val="both"/>
        <w:rPr>
          <w:rFonts w:ascii="Arial" w:hAnsi="Arial" w:cs="Arial"/>
          <w:sz w:val="20"/>
          <w:szCs w:val="20"/>
          <w:u w:val="single"/>
        </w:rPr>
      </w:pPr>
      <w:r w:rsidRPr="007569AC">
        <w:rPr>
          <w:rFonts w:ascii="Arial" w:hAnsi="Arial" w:cs="Arial"/>
          <w:sz w:val="20"/>
          <w:szCs w:val="20"/>
          <w:u w:val="single"/>
        </w:rPr>
        <w:t xml:space="preserve">IMPUTADO: </w:t>
      </w:r>
      <w:proofErr w:type="gramStart"/>
      <w:r w:rsidRPr="007569AC">
        <w:rPr>
          <w:rFonts w:ascii="Arial" w:hAnsi="Arial" w:cs="Arial"/>
          <w:sz w:val="20"/>
          <w:szCs w:val="20"/>
          <w:u w:val="single"/>
        </w:rPr>
        <w:t>RIVERO ,</w:t>
      </w:r>
      <w:proofErr w:type="gramEnd"/>
      <w:r w:rsidRPr="007569AC">
        <w:rPr>
          <w:rFonts w:ascii="Arial" w:hAnsi="Arial" w:cs="Arial"/>
          <w:sz w:val="20"/>
          <w:szCs w:val="20"/>
          <w:u w:val="single"/>
        </w:rPr>
        <w:t xml:space="preserve"> NANCY NOEMI Y OTROS s/EVASION SIMPLE PREVISIONAL QUERELLANTE: AFIP-DGI, MARIELA ELIZABETH RCP</w:t>
      </w:r>
      <w:r>
        <w:rPr>
          <w:rFonts w:ascii="Arial" w:hAnsi="Arial" w:cs="Arial"/>
          <w:sz w:val="20"/>
          <w:szCs w:val="20"/>
          <w:u w:val="single"/>
        </w:rPr>
        <w:t xml:space="preserve">. </w:t>
      </w:r>
      <w:r w:rsidRPr="007569AC">
        <w:rPr>
          <w:rFonts w:ascii="Arial" w:hAnsi="Arial" w:cs="Arial"/>
          <w:sz w:val="20"/>
          <w:szCs w:val="20"/>
          <w:u w:val="single"/>
        </w:rPr>
        <w:t xml:space="preserve">JUZGADO FEDERAL DE MAR DEL PLATA 3 </w:t>
      </w:r>
      <w:proofErr w:type="spellStart"/>
      <w:r w:rsidRPr="007569AC">
        <w:rPr>
          <w:rFonts w:ascii="Arial" w:hAnsi="Arial" w:cs="Arial"/>
          <w:sz w:val="20"/>
          <w:szCs w:val="20"/>
          <w:u w:val="single"/>
        </w:rPr>
        <w:t>Exp</w:t>
      </w:r>
      <w:proofErr w:type="spellEnd"/>
      <w:r w:rsidRPr="007569AC">
        <w:rPr>
          <w:rFonts w:ascii="Arial" w:hAnsi="Arial" w:cs="Arial"/>
          <w:sz w:val="20"/>
          <w:szCs w:val="20"/>
          <w:u w:val="single"/>
        </w:rPr>
        <w:t>. N°63/2015</w:t>
      </w:r>
      <w:r w:rsidR="00FF7ECD">
        <w:rPr>
          <w:rFonts w:ascii="Arial" w:hAnsi="Arial" w:cs="Arial"/>
          <w:sz w:val="20"/>
          <w:szCs w:val="20"/>
          <w:u w:val="single"/>
        </w:rPr>
        <w:t>.</w:t>
      </w:r>
    </w:p>
    <w:p w:rsidR="00FF7ECD" w:rsidRPr="00FF7ECD" w:rsidRDefault="00FF7ECD" w:rsidP="00FF7ECD">
      <w:pPr>
        <w:pStyle w:val="Prrafodelista"/>
        <w:rPr>
          <w:rFonts w:ascii="Arial" w:hAnsi="Arial" w:cs="Arial"/>
          <w:sz w:val="20"/>
          <w:szCs w:val="20"/>
          <w:u w:val="single"/>
        </w:rPr>
      </w:pPr>
    </w:p>
    <w:p w:rsidR="00FF7ECD" w:rsidRDefault="00FF7ECD" w:rsidP="00FF7ECD">
      <w:pPr>
        <w:autoSpaceDE w:val="0"/>
        <w:autoSpaceDN w:val="0"/>
        <w:adjustRightInd w:val="0"/>
        <w:spacing w:after="0" w:line="240" w:lineRule="auto"/>
        <w:jc w:val="both"/>
        <w:rPr>
          <w:rFonts w:ascii="Arial" w:hAnsi="Arial" w:cs="Arial"/>
          <w:sz w:val="20"/>
          <w:szCs w:val="20"/>
        </w:rPr>
      </w:pPr>
      <w:r w:rsidRPr="00D00019">
        <w:rPr>
          <w:rFonts w:ascii="Arial" w:hAnsi="Arial" w:cs="Arial"/>
          <w:color w:val="000000"/>
          <w:sz w:val="20"/>
          <w:szCs w:val="20"/>
          <w:u w:val="single"/>
        </w:rPr>
        <w:t>Tema</w:t>
      </w:r>
      <w:r w:rsidRPr="00D00019">
        <w:rPr>
          <w:rFonts w:ascii="Arial" w:hAnsi="Arial" w:cs="Arial"/>
          <w:color w:val="000000"/>
          <w:sz w:val="20"/>
          <w:szCs w:val="20"/>
        </w:rPr>
        <w:t xml:space="preserve">: </w:t>
      </w:r>
      <w:r>
        <w:rPr>
          <w:rFonts w:ascii="Arial" w:hAnsi="Arial" w:cs="Arial"/>
          <w:color w:val="000000"/>
          <w:sz w:val="20"/>
          <w:szCs w:val="20"/>
        </w:rPr>
        <w:t>Evasión Simple. IVA. Improcedencia de cómputo del crédito fiscal. Requisitos formales. Facturación a nombre del contribuyente.  Acogimiento a plan de regularización Ley 27562. Caducidad. Pericia contable que determina un monto inferior al umbral mínimo.</w:t>
      </w:r>
      <w:r w:rsidR="00246941">
        <w:rPr>
          <w:rFonts w:ascii="Arial" w:hAnsi="Arial" w:cs="Arial"/>
          <w:color w:val="000000"/>
          <w:sz w:val="20"/>
          <w:szCs w:val="20"/>
        </w:rPr>
        <w:t xml:space="preserve"> Cómputo del Crédito Fiscal. Realidad Económica. </w:t>
      </w:r>
      <w:r>
        <w:rPr>
          <w:rFonts w:ascii="Arial" w:hAnsi="Arial" w:cs="Arial"/>
          <w:color w:val="000000"/>
          <w:sz w:val="20"/>
          <w:szCs w:val="20"/>
        </w:rPr>
        <w:t xml:space="preserve"> Procesamiento. </w:t>
      </w:r>
      <w:r w:rsidR="00246941">
        <w:rPr>
          <w:rFonts w:ascii="Arial" w:hAnsi="Arial" w:cs="Arial"/>
          <w:color w:val="000000"/>
          <w:sz w:val="20"/>
          <w:szCs w:val="20"/>
        </w:rPr>
        <w:t xml:space="preserve">Falta de consideración de la pericia contable. Reconocimiento del monto reclamado en acogimiento. Confesión. Adecuación típica.  </w:t>
      </w:r>
      <w:bookmarkStart w:id="0" w:name="_GoBack"/>
      <w:bookmarkEnd w:id="0"/>
    </w:p>
    <w:p w:rsidR="00FF7ECD" w:rsidRPr="00D00019" w:rsidRDefault="00FF7ECD" w:rsidP="00FF7ECD">
      <w:pPr>
        <w:pStyle w:val="Prrafodelista"/>
        <w:autoSpaceDE w:val="0"/>
        <w:autoSpaceDN w:val="0"/>
        <w:adjustRightInd w:val="0"/>
        <w:spacing w:after="0" w:line="240" w:lineRule="auto"/>
        <w:ind w:left="780"/>
        <w:jc w:val="both"/>
        <w:rPr>
          <w:rFonts w:ascii="Arial" w:hAnsi="Arial" w:cs="Arial"/>
          <w:sz w:val="20"/>
          <w:szCs w:val="20"/>
          <w:u w:val="single"/>
        </w:rPr>
      </w:pPr>
    </w:p>
    <w:p w:rsidR="00D00019" w:rsidRPr="00D00019" w:rsidRDefault="00D00019" w:rsidP="00C111DC">
      <w:pPr>
        <w:autoSpaceDE w:val="0"/>
        <w:autoSpaceDN w:val="0"/>
        <w:adjustRightInd w:val="0"/>
        <w:spacing w:after="0" w:line="240" w:lineRule="auto"/>
        <w:jc w:val="both"/>
        <w:rPr>
          <w:rFonts w:ascii="Arial" w:hAnsi="Arial" w:cs="Arial"/>
          <w:sz w:val="20"/>
          <w:szCs w:val="20"/>
        </w:rPr>
      </w:pPr>
    </w:p>
    <w:p w:rsidR="00D00019" w:rsidRPr="00CF2B6B"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Pr="00CF2B6B"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Pr="00CF2B6B" w:rsidRDefault="00D00019" w:rsidP="00D00019">
      <w:pPr>
        <w:autoSpaceDE w:val="0"/>
        <w:autoSpaceDN w:val="0"/>
        <w:adjustRightInd w:val="0"/>
        <w:spacing w:after="0" w:line="240" w:lineRule="auto"/>
        <w:jc w:val="both"/>
        <w:rPr>
          <w:rFonts w:ascii="Arial" w:hAnsi="Arial" w:cs="Arial"/>
          <w:b/>
          <w:color w:val="000000"/>
          <w:sz w:val="20"/>
          <w:szCs w:val="20"/>
          <w:u w:val="single"/>
        </w:rPr>
      </w:pPr>
      <w:r w:rsidRPr="00CF2B6B">
        <w:rPr>
          <w:rFonts w:ascii="Arial" w:hAnsi="Arial" w:cs="Arial"/>
          <w:b/>
          <w:color w:val="000000"/>
          <w:sz w:val="20"/>
          <w:szCs w:val="20"/>
          <w:u w:val="single"/>
        </w:rPr>
        <w:t>DOCTRINA</w:t>
      </w:r>
    </w:p>
    <w:p w:rsidR="00D00019" w:rsidRPr="00D00019"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Default="002E2010" w:rsidP="002E2010">
      <w:pPr>
        <w:pStyle w:val="Prrafodelista"/>
        <w:numPr>
          <w:ilvl w:val="0"/>
          <w:numId w:val="3"/>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CONFORMACION DE LAS MAYORIAS EN LOS TRIBUNALES COLEGIADOS. Notas de Jurisprudencia de la CSJN, diciembre del 2021</w:t>
      </w:r>
    </w:p>
    <w:p w:rsidR="00A150D6" w:rsidRDefault="00A150D6" w:rsidP="00A150D6">
      <w:pPr>
        <w:pStyle w:val="Prrafodelista"/>
        <w:autoSpaceDE w:val="0"/>
        <w:autoSpaceDN w:val="0"/>
        <w:adjustRightInd w:val="0"/>
        <w:spacing w:after="0" w:line="240" w:lineRule="auto"/>
        <w:jc w:val="both"/>
        <w:rPr>
          <w:rFonts w:ascii="Arial" w:hAnsi="Arial" w:cs="Arial"/>
          <w:color w:val="000000"/>
          <w:sz w:val="20"/>
          <w:szCs w:val="20"/>
        </w:rPr>
      </w:pPr>
    </w:p>
    <w:p w:rsidR="002E2010" w:rsidRPr="002E2010" w:rsidRDefault="002E2010" w:rsidP="002E2010">
      <w:pPr>
        <w:pStyle w:val="Prrafodelista"/>
        <w:numPr>
          <w:ilvl w:val="0"/>
          <w:numId w:val="3"/>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INTERRUPCIÓN DE LA PRESCRIPCIÓN DE LA ACCIÓN PENAL POR ACTOS PROCESALES EN DEFENSA PROPIA</w:t>
      </w:r>
      <w:proofErr w:type="gramStart"/>
      <w:r>
        <w:rPr>
          <w:rFonts w:ascii="Arial" w:hAnsi="Arial" w:cs="Arial"/>
          <w:color w:val="000000"/>
          <w:sz w:val="20"/>
          <w:szCs w:val="20"/>
        </w:rPr>
        <w:t>?</w:t>
      </w:r>
      <w:proofErr w:type="gramEnd"/>
      <w:r>
        <w:rPr>
          <w:rFonts w:ascii="Arial" w:hAnsi="Arial" w:cs="Arial"/>
          <w:color w:val="000000"/>
          <w:sz w:val="20"/>
          <w:szCs w:val="20"/>
        </w:rPr>
        <w:t xml:space="preserve"> Por Tomás A. Guido, Abogados.com.ar del 14/6/2023.</w:t>
      </w:r>
    </w:p>
    <w:p w:rsidR="00D00019" w:rsidRPr="00D00019" w:rsidRDefault="00D00019" w:rsidP="00D00019">
      <w:pPr>
        <w:autoSpaceDE w:val="0"/>
        <w:autoSpaceDN w:val="0"/>
        <w:adjustRightInd w:val="0"/>
        <w:spacing w:after="0" w:line="240" w:lineRule="auto"/>
        <w:jc w:val="both"/>
        <w:rPr>
          <w:rFonts w:ascii="Arial" w:hAnsi="Arial" w:cs="Arial"/>
          <w:color w:val="000000"/>
          <w:sz w:val="20"/>
          <w:szCs w:val="20"/>
        </w:rPr>
      </w:pPr>
    </w:p>
    <w:sectPr w:rsidR="00D00019" w:rsidRPr="00D00019" w:rsidSect="0006588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B37A6A"/>
    <w:multiLevelType w:val="hybridMultilevel"/>
    <w:tmpl w:val="C97E9D44"/>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
    <w:nsid w:val="662B3FB3"/>
    <w:multiLevelType w:val="hybridMultilevel"/>
    <w:tmpl w:val="01AA1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67D1252"/>
    <w:multiLevelType w:val="hybridMultilevel"/>
    <w:tmpl w:val="DD6AE6B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8048CB"/>
    <w:rsid w:val="00065885"/>
    <w:rsid w:val="000A2F85"/>
    <w:rsid w:val="000E403B"/>
    <w:rsid w:val="00153FD8"/>
    <w:rsid w:val="001B4764"/>
    <w:rsid w:val="001E1824"/>
    <w:rsid w:val="001E54DF"/>
    <w:rsid w:val="00246941"/>
    <w:rsid w:val="00251069"/>
    <w:rsid w:val="0026296A"/>
    <w:rsid w:val="00284E80"/>
    <w:rsid w:val="002E2010"/>
    <w:rsid w:val="00334F59"/>
    <w:rsid w:val="003717BB"/>
    <w:rsid w:val="004326FB"/>
    <w:rsid w:val="00480A8D"/>
    <w:rsid w:val="004A5856"/>
    <w:rsid w:val="00513BF0"/>
    <w:rsid w:val="00547913"/>
    <w:rsid w:val="007202AC"/>
    <w:rsid w:val="007569AC"/>
    <w:rsid w:val="008021F6"/>
    <w:rsid w:val="008048CB"/>
    <w:rsid w:val="00872289"/>
    <w:rsid w:val="008C2FA5"/>
    <w:rsid w:val="008F74F7"/>
    <w:rsid w:val="00A150D6"/>
    <w:rsid w:val="00A4499F"/>
    <w:rsid w:val="00A73B50"/>
    <w:rsid w:val="00B667F3"/>
    <w:rsid w:val="00BC43A6"/>
    <w:rsid w:val="00C111DC"/>
    <w:rsid w:val="00C96B1F"/>
    <w:rsid w:val="00CA3215"/>
    <w:rsid w:val="00CB6D15"/>
    <w:rsid w:val="00CF2B6B"/>
    <w:rsid w:val="00D00019"/>
    <w:rsid w:val="00DC2EF0"/>
    <w:rsid w:val="00E7631C"/>
    <w:rsid w:val="00F26C40"/>
    <w:rsid w:val="00F35081"/>
    <w:rsid w:val="00F51051"/>
    <w:rsid w:val="00FF7EC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88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048CB"/>
    <w:pPr>
      <w:autoSpaceDE w:val="0"/>
      <w:autoSpaceDN w:val="0"/>
      <w:adjustRightInd w:val="0"/>
      <w:spacing w:after="0" w:line="240" w:lineRule="auto"/>
    </w:pPr>
    <w:rPr>
      <w:rFonts w:ascii="Liberation Serif" w:hAnsi="Liberation Serif" w:cs="Liberation Serif"/>
      <w:color w:val="000000"/>
      <w:sz w:val="24"/>
      <w:szCs w:val="24"/>
    </w:rPr>
  </w:style>
  <w:style w:type="paragraph" w:styleId="Prrafodelista">
    <w:name w:val="List Paragraph"/>
    <w:basedOn w:val="Normal"/>
    <w:uiPriority w:val="34"/>
    <w:qFormat/>
    <w:rsid w:val="00513B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75DA2-F85F-4642-AD0E-7F6FD5D5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539</Words>
  <Characters>2969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SF</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Usuario de Windows</cp:lastModifiedBy>
  <cp:revision>2</cp:revision>
  <dcterms:created xsi:type="dcterms:W3CDTF">2023-06-26T17:32:00Z</dcterms:created>
  <dcterms:modified xsi:type="dcterms:W3CDTF">2023-06-26T17:32:00Z</dcterms:modified>
</cp:coreProperties>
</file>